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7633" w14:textId="77777777" w:rsidR="00EA6C6E" w:rsidRDefault="00C6147C" w:rsidP="00C6147C">
      <w:pPr>
        <w:ind w:left="3600"/>
        <w:jc w:val="center"/>
      </w:pPr>
      <w:r w:rsidRPr="00F234D5">
        <w:rPr>
          <w:noProof/>
          <w:lang w:eastAsia="en-GB"/>
        </w:rPr>
        <w:pict w14:anchorId="4C642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.4pt;height:44.4pt">
            <v:imagedata r:id="rId4" o:title="png-800"/>
          </v:shape>
        </w:pict>
      </w:r>
    </w:p>
    <w:p w14:paraId="751A5E16" w14:textId="77777777" w:rsidR="00303F7D" w:rsidRDefault="00021E43" w:rsidP="00C6147C">
      <w:pPr>
        <w:spacing w:after="0"/>
        <w:rPr>
          <w:noProof/>
          <w:lang w:eastAsia="en-GB"/>
        </w:rPr>
      </w:pPr>
      <w:r>
        <w:rPr>
          <w:noProof/>
          <w:lang w:eastAsia="en-GB"/>
        </w:rPr>
        <w:pict w14:anchorId="38D3E87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7.4pt;margin-top:.8pt;width:181.75pt;height:109.7pt;z-index:1;mso-wrap-distance-left:2.88pt;mso-wrap-distance-top:2.88pt;mso-wrap-distance-right:2.88pt;mso-wrap-distance-bottom:2.88pt" filled="f" fillcolor="black" stroked="f" strokeweight="0" insetpen="t">
            <v:stroke>
              <o:column v:ext="view" weight="0"/>
            </v:stroke>
            <v:shadow color="#ccc"/>
            <v:textbox style="mso-next-textbox:#_x0000_s1026;mso-column-margin:5.7pt;mso-rotate-with-shape:t;mso-fit-text-to-shape:t" inset="2.85pt,2.85pt,2.85pt,2.85pt">
              <w:txbxContent>
                <w:p w14:paraId="008EFD21" w14:textId="77777777" w:rsidR="00C6147C" w:rsidRDefault="00724521" w:rsidP="00C6147C">
                  <w:pPr>
                    <w:widowControl w:val="0"/>
                    <w:spacing w:after="0"/>
                    <w:jc w:val="right"/>
                    <w:rPr>
                      <w:rFonts w:ascii="Eras Demi ITC" w:hAnsi="Eras Demi ITC" w:cs="Arial"/>
                      <w:sz w:val="20"/>
                      <w:szCs w:val="20"/>
                    </w:rPr>
                  </w:pPr>
                  <w:r>
                    <w:rPr>
                      <w:rFonts w:ascii="Eras Demi ITC" w:hAnsi="Eras Demi ITC" w:cs="Arial"/>
                      <w:sz w:val="20"/>
                      <w:szCs w:val="20"/>
                    </w:rPr>
                    <w:t>8 Lings Lane</w:t>
                  </w:r>
                </w:p>
                <w:p w14:paraId="08919AD5" w14:textId="77777777" w:rsidR="00724521" w:rsidRDefault="00724521" w:rsidP="00C6147C">
                  <w:pPr>
                    <w:widowControl w:val="0"/>
                    <w:spacing w:after="0"/>
                    <w:jc w:val="right"/>
                    <w:rPr>
                      <w:rFonts w:ascii="Eras Demi ITC" w:hAnsi="Eras Demi ITC" w:cs="Arial"/>
                      <w:sz w:val="20"/>
                      <w:szCs w:val="20"/>
                    </w:rPr>
                  </w:pPr>
                  <w:r>
                    <w:rPr>
                      <w:rFonts w:ascii="Eras Demi ITC" w:hAnsi="Eras Demi ITC" w:cs="Arial"/>
                      <w:sz w:val="20"/>
                      <w:szCs w:val="20"/>
                    </w:rPr>
                    <w:t>Wickersley</w:t>
                  </w:r>
                </w:p>
                <w:p w14:paraId="54ED8790" w14:textId="77777777" w:rsidR="00724521" w:rsidRDefault="00724521" w:rsidP="00C6147C">
                  <w:pPr>
                    <w:widowControl w:val="0"/>
                    <w:spacing w:after="0"/>
                    <w:jc w:val="right"/>
                    <w:rPr>
                      <w:rFonts w:ascii="Eras Demi ITC" w:hAnsi="Eras Demi ITC" w:cs="Arial"/>
                      <w:sz w:val="20"/>
                      <w:szCs w:val="20"/>
                    </w:rPr>
                  </w:pPr>
                  <w:r>
                    <w:rPr>
                      <w:rFonts w:ascii="Eras Demi ITC" w:hAnsi="Eras Demi ITC" w:cs="Arial"/>
                      <w:sz w:val="20"/>
                      <w:szCs w:val="20"/>
                    </w:rPr>
                    <w:t>Rotherham.</w:t>
                  </w:r>
                </w:p>
                <w:p w14:paraId="37768EC5" w14:textId="77777777" w:rsidR="00724521" w:rsidRDefault="00724521" w:rsidP="00C6147C">
                  <w:pPr>
                    <w:widowControl w:val="0"/>
                    <w:spacing w:after="0"/>
                    <w:jc w:val="right"/>
                    <w:rPr>
                      <w:rFonts w:ascii="Eras Demi ITC" w:hAnsi="Eras Demi ITC" w:cs="Arial"/>
                      <w:sz w:val="20"/>
                      <w:szCs w:val="20"/>
                    </w:rPr>
                  </w:pPr>
                  <w:r>
                    <w:rPr>
                      <w:rFonts w:ascii="Eras Demi ITC" w:hAnsi="Eras Demi ITC" w:cs="Arial"/>
                      <w:sz w:val="20"/>
                      <w:szCs w:val="20"/>
                    </w:rPr>
                    <w:t>S66 1JP</w:t>
                  </w:r>
                </w:p>
                <w:p w14:paraId="5A4FE97E" w14:textId="77777777" w:rsidR="00C6147C" w:rsidRDefault="00C6147C" w:rsidP="00C6147C">
                  <w:pPr>
                    <w:widowControl w:val="0"/>
                    <w:spacing w:after="0"/>
                    <w:jc w:val="right"/>
                    <w:rPr>
                      <w:rFonts w:ascii="Eras Demi ITC" w:hAnsi="Eras Demi ITC" w:cs="Arial"/>
                      <w:sz w:val="20"/>
                      <w:szCs w:val="20"/>
                    </w:rPr>
                  </w:pPr>
                </w:p>
                <w:p w14:paraId="46BD5D04" w14:textId="77777777" w:rsidR="000D5CCE" w:rsidRPr="000D5CCE" w:rsidRDefault="000D5CCE" w:rsidP="00C6147C">
                  <w:pPr>
                    <w:widowControl w:val="0"/>
                    <w:spacing w:after="0"/>
                    <w:jc w:val="right"/>
                    <w:rPr>
                      <w:rFonts w:ascii="Eras Demi ITC" w:hAnsi="Eras Demi ITC" w:cs="Arial"/>
                      <w:sz w:val="20"/>
                      <w:szCs w:val="20"/>
                    </w:rPr>
                  </w:pPr>
                  <w:r>
                    <w:rPr>
                      <w:rFonts w:ascii="Eras Demi ITC" w:hAnsi="Eras Demi ITC" w:cs="Arial"/>
                      <w:sz w:val="20"/>
                      <w:szCs w:val="20"/>
                    </w:rPr>
                    <w:t>Mob</w:t>
                  </w:r>
                  <w:r w:rsidRPr="000D5CCE">
                    <w:rPr>
                      <w:rFonts w:ascii="Eras Demi ITC" w:hAnsi="Eras Demi ITC" w:cs="Arial"/>
                      <w:sz w:val="20"/>
                      <w:szCs w:val="20"/>
                    </w:rPr>
                    <w:t>: 07986 401764</w:t>
                  </w:r>
                </w:p>
                <w:p w14:paraId="69A63EEA" w14:textId="77777777" w:rsidR="00C6147C" w:rsidRDefault="000D5CCE" w:rsidP="00C6147C">
                  <w:pPr>
                    <w:widowControl w:val="0"/>
                    <w:spacing w:after="0"/>
                    <w:jc w:val="right"/>
                    <w:rPr>
                      <w:rFonts w:ascii="Eras Demi ITC" w:hAnsi="Eras Demi ITC" w:cs="Arial"/>
                      <w:sz w:val="20"/>
                      <w:szCs w:val="20"/>
                    </w:rPr>
                  </w:pPr>
                  <w:r w:rsidRPr="000D5CCE">
                    <w:rPr>
                      <w:rFonts w:ascii="Eras Demi ITC" w:hAnsi="Eras Demi ITC" w:cs="Arial"/>
                      <w:sz w:val="20"/>
                      <w:szCs w:val="20"/>
                    </w:rPr>
                    <w:t>Email</w:t>
                  </w:r>
                  <w:r w:rsidR="00C6147C">
                    <w:rPr>
                      <w:rFonts w:ascii="Eras Demi ITC" w:hAnsi="Eras Demi ITC" w:cs="Arial"/>
                      <w:sz w:val="20"/>
                      <w:szCs w:val="20"/>
                    </w:rPr>
                    <w:t xml:space="preserve">: rotherhamlmc@hotmail.com  </w:t>
                  </w:r>
                </w:p>
                <w:p w14:paraId="29C87665" w14:textId="77777777" w:rsidR="000D5CCE" w:rsidRDefault="000D5CCE" w:rsidP="00C6147C">
                  <w:pPr>
                    <w:widowControl w:val="0"/>
                    <w:spacing w:after="0"/>
                    <w:jc w:val="right"/>
                    <w:rPr>
                      <w:rFonts w:ascii="Eras Demi ITC" w:hAnsi="Eras Demi ITC" w:cs="Arial"/>
                      <w:sz w:val="20"/>
                      <w:szCs w:val="20"/>
                    </w:rPr>
                  </w:pPr>
                  <w:r w:rsidRPr="000D5CCE">
                    <w:rPr>
                      <w:rFonts w:ascii="Eras Demi ITC" w:hAnsi="Eras Demi ITC" w:cs="Arial"/>
                      <w:sz w:val="20"/>
                      <w:szCs w:val="20"/>
                    </w:rPr>
                    <w:t>www.rotherhamlmc.org</w:t>
                  </w:r>
                </w:p>
                <w:p w14:paraId="0A72BCF0" w14:textId="77777777" w:rsidR="000D5CCE" w:rsidRDefault="000D5CCE" w:rsidP="00C6147C">
                  <w:pPr>
                    <w:widowControl w:val="0"/>
                    <w:spacing w:after="0"/>
                    <w:jc w:val="right"/>
                    <w:rPr>
                      <w:rFonts w:ascii="Eras Demi ITC" w:hAnsi="Eras Demi ITC" w:cs="Arial"/>
                      <w:sz w:val="20"/>
                      <w:szCs w:val="20"/>
                    </w:rPr>
                  </w:pPr>
                  <w:r>
                    <w:rPr>
                      <w:rFonts w:ascii="Eras Demi ITC" w:hAnsi="Eras Demi ITC" w:cs="Arial"/>
                      <w:sz w:val="20"/>
                      <w:szCs w:val="20"/>
                    </w:rPr>
                    <w:t>Chairman</w:t>
                  </w:r>
                  <w:r w:rsidR="00D56261">
                    <w:rPr>
                      <w:rFonts w:ascii="Eras Demi ITC" w:hAnsi="Eras Demi ITC" w:cs="Arial"/>
                      <w:sz w:val="20"/>
                      <w:szCs w:val="20"/>
                    </w:rPr>
                    <w:t>:</w:t>
                  </w:r>
                  <w:r>
                    <w:rPr>
                      <w:rFonts w:ascii="Eras Demi ITC" w:hAnsi="Eras Demi ITC" w:cs="Arial"/>
                      <w:sz w:val="20"/>
                      <w:szCs w:val="20"/>
                    </w:rPr>
                    <w:t xml:space="preserve"> Dr A Cole. </w:t>
                  </w:r>
                  <w:r w:rsidR="00D56261">
                    <w:rPr>
                      <w:rFonts w:ascii="Eras Demi ITC" w:hAnsi="Eras Demi ITC" w:cs="Arial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Eras Demi ITC" w:hAnsi="Eras Demi ITC" w:cs="Arial"/>
                      <w:sz w:val="20"/>
                      <w:szCs w:val="20"/>
                    </w:rPr>
                    <w:t xml:space="preserve">Secretary </w:t>
                  </w:r>
                  <w:r w:rsidR="00D56261">
                    <w:rPr>
                      <w:rFonts w:ascii="Eras Demi ITC" w:hAnsi="Eras Demi ITC" w:cs="Arial"/>
                      <w:sz w:val="20"/>
                      <w:szCs w:val="20"/>
                    </w:rPr>
                    <w:t xml:space="preserve">&amp; Treasurer: </w:t>
                  </w:r>
                  <w:r>
                    <w:rPr>
                      <w:rFonts w:ascii="Eras Demi ITC" w:hAnsi="Eras Demi ITC" w:cs="Arial"/>
                      <w:sz w:val="20"/>
                      <w:szCs w:val="20"/>
                    </w:rPr>
                    <w:t xml:space="preserve">Mr G Pacey. </w:t>
                  </w:r>
                </w:p>
                <w:p w14:paraId="6EC6F829" w14:textId="77777777" w:rsidR="000D5CCE" w:rsidRDefault="000D5CCE" w:rsidP="00C6147C">
                  <w:pPr>
                    <w:widowControl w:val="0"/>
                    <w:spacing w:after="0"/>
                    <w:jc w:val="right"/>
                    <w:rPr>
                      <w:rFonts w:ascii="Eras Demi ITC" w:hAnsi="Eras Demi ITC" w:cs="Arial"/>
                      <w:sz w:val="20"/>
                      <w:szCs w:val="20"/>
                    </w:rPr>
                  </w:pPr>
                  <w:r>
                    <w:rPr>
                      <w:rFonts w:ascii="Eras Demi ITC" w:hAnsi="Eras Demi ITC" w:cs="Arial"/>
                      <w:sz w:val="20"/>
                      <w:szCs w:val="20"/>
                    </w:rPr>
                    <w:t>Vice-Chairman</w:t>
                  </w:r>
                  <w:r w:rsidR="00D56261">
                    <w:rPr>
                      <w:rFonts w:ascii="Eras Demi ITC" w:hAnsi="Eras Demi ITC" w:cs="Arial"/>
                      <w:sz w:val="20"/>
                      <w:szCs w:val="20"/>
                    </w:rPr>
                    <w:t>:</w:t>
                  </w:r>
                  <w:r>
                    <w:rPr>
                      <w:rFonts w:ascii="Eras Demi ITC" w:hAnsi="Eras Demi ITC" w:cs="Arial"/>
                      <w:sz w:val="20"/>
                      <w:szCs w:val="20"/>
                    </w:rPr>
                    <w:t xml:space="preserve"> Dr C Myers. </w:t>
                  </w:r>
                  <w:r w:rsidR="00D56261">
                    <w:rPr>
                      <w:rFonts w:ascii="Eras Demi ITC" w:hAnsi="Eras Demi ITC" w:cs="Arial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Eras Demi ITC" w:hAnsi="Eras Demi ITC" w:cs="Arial"/>
                      <w:sz w:val="20"/>
                      <w:szCs w:val="20"/>
                    </w:rPr>
                    <w:t>Medical Secretary</w:t>
                  </w:r>
                  <w:r w:rsidR="00D56261">
                    <w:rPr>
                      <w:rFonts w:ascii="Eras Demi ITC" w:hAnsi="Eras Demi ITC" w:cs="Arial"/>
                      <w:sz w:val="20"/>
                      <w:szCs w:val="20"/>
                    </w:rPr>
                    <w:t>:</w:t>
                  </w:r>
                  <w:r>
                    <w:rPr>
                      <w:rFonts w:ascii="Eras Demi ITC" w:hAnsi="Eras Demi ITC" w:cs="Arial"/>
                      <w:sz w:val="20"/>
                      <w:szCs w:val="20"/>
                    </w:rPr>
                    <w:t xml:space="preserve"> Dr N Thorman.</w:t>
                  </w:r>
                </w:p>
                <w:p w14:paraId="622B26D7" w14:textId="77777777" w:rsidR="000D5CCE" w:rsidRPr="000D5CCE" w:rsidRDefault="000D5CCE" w:rsidP="00C6147C">
                  <w:pPr>
                    <w:widowControl w:val="0"/>
                    <w:spacing w:after="0"/>
                    <w:jc w:val="right"/>
                    <w:rPr>
                      <w:rFonts w:ascii="Eras Demi ITC" w:hAnsi="Eras Demi ITC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C6147C">
        <w:rPr>
          <w:noProof/>
          <w:lang w:eastAsia="en-GB"/>
        </w:rPr>
        <w:t xml:space="preserve"> </w:t>
      </w:r>
    </w:p>
    <w:p w14:paraId="0F9870D9" w14:textId="77777777" w:rsidR="00303F7D" w:rsidRDefault="00303F7D" w:rsidP="00C6147C">
      <w:pPr>
        <w:spacing w:after="0"/>
        <w:rPr>
          <w:noProof/>
          <w:lang w:eastAsia="en-GB"/>
        </w:rPr>
      </w:pPr>
    </w:p>
    <w:p w14:paraId="662DFC3D" w14:textId="77777777" w:rsidR="00C6147C" w:rsidRDefault="00D56261" w:rsidP="00D562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D328DF9" w14:textId="77777777" w:rsidR="00C6147C" w:rsidRDefault="00C6147C" w:rsidP="00D56261">
      <w:pPr>
        <w:spacing w:after="0"/>
        <w:rPr>
          <w:rFonts w:ascii="Arial" w:hAnsi="Arial" w:cs="Arial"/>
        </w:rPr>
      </w:pPr>
    </w:p>
    <w:p w14:paraId="677D4CD1" w14:textId="77777777" w:rsidR="00C6147C" w:rsidRDefault="00C6147C" w:rsidP="00D56261">
      <w:pPr>
        <w:spacing w:after="0"/>
        <w:rPr>
          <w:rFonts w:ascii="Arial" w:hAnsi="Arial" w:cs="Arial"/>
        </w:rPr>
      </w:pPr>
    </w:p>
    <w:p w14:paraId="4CF8D314" w14:textId="77777777" w:rsidR="00D56261" w:rsidRDefault="00D56261" w:rsidP="00D56261">
      <w:pPr>
        <w:spacing w:after="0"/>
        <w:rPr>
          <w:rFonts w:ascii="Arial" w:hAnsi="Arial" w:cs="Arial"/>
        </w:rPr>
      </w:pPr>
    </w:p>
    <w:p w14:paraId="00C6885A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5B698F41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06EEF3FF" w14:textId="77777777" w:rsidR="00D15F87" w:rsidRPr="00D15F87" w:rsidRDefault="00D15F87" w:rsidP="00D15F87">
      <w:pPr>
        <w:spacing w:after="0"/>
        <w:rPr>
          <w:rFonts w:ascii="Arial" w:hAnsi="Arial" w:cs="Arial"/>
          <w:b/>
          <w:bCs/>
        </w:rPr>
      </w:pPr>
      <w:r w:rsidRPr="00D15F87">
        <w:rPr>
          <w:rFonts w:ascii="Arial" w:hAnsi="Arial" w:cs="Arial"/>
          <w:b/>
          <w:bCs/>
        </w:rPr>
        <w:t>LMCs - About Us</w:t>
      </w:r>
    </w:p>
    <w:p w14:paraId="181343B3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Local Medical Committees (LMCs) have a long history in English law and pre-date the</w:t>
      </w:r>
    </w:p>
    <w:p w14:paraId="3618D723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National Health Service. The legal responsibility of LMCs is to represent and safeguard the</w:t>
      </w:r>
    </w:p>
    <w:p w14:paraId="72021A86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interests of all General Practitioners (GPs) in their area, ensure statutory consultation on</w:t>
      </w:r>
    </w:p>
    <w:p w14:paraId="55C08B74" w14:textId="18D38805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issues affecting general practice and provide advice and advocacy to GPs.</w:t>
      </w:r>
    </w:p>
    <w:p w14:paraId="34E8DF4B" w14:textId="77777777" w:rsidR="00D15F87" w:rsidRDefault="00D15F87" w:rsidP="00D15F87">
      <w:pPr>
        <w:spacing w:after="0"/>
        <w:rPr>
          <w:rFonts w:ascii="Arial" w:hAnsi="Arial" w:cs="Arial"/>
          <w:b/>
          <w:bCs/>
        </w:rPr>
      </w:pPr>
    </w:p>
    <w:p w14:paraId="56B2B5E2" w14:textId="0D5FF28E" w:rsidR="00D15F87" w:rsidRPr="00D15F87" w:rsidRDefault="00D15F87" w:rsidP="00D15F87">
      <w:pPr>
        <w:spacing w:after="0"/>
        <w:rPr>
          <w:rFonts w:ascii="Arial" w:hAnsi="Arial" w:cs="Arial"/>
          <w:b/>
          <w:bCs/>
        </w:rPr>
      </w:pPr>
      <w:r w:rsidRPr="00D15F87">
        <w:rPr>
          <w:rFonts w:ascii="Arial" w:hAnsi="Arial" w:cs="Arial"/>
          <w:b/>
          <w:bCs/>
        </w:rPr>
        <w:t>LMCs are written into the Law</w:t>
      </w:r>
    </w:p>
    <w:p w14:paraId="20F889A7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The 1911 National Insurance Act allowed for the formation of Local Medical Committees,</w:t>
      </w:r>
    </w:p>
    <w:p w14:paraId="79C58A61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giving GPs a statutory voice in representing general practitioners providing services under</w:t>
      </w:r>
    </w:p>
    <w:p w14:paraId="73A0BD85" w14:textId="0A24FF28" w:rsid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the first state medical service for insured workers.</w:t>
      </w:r>
      <w:r w:rsidR="00CE0B09">
        <w:rPr>
          <w:rFonts w:ascii="Arial" w:hAnsi="Arial" w:cs="Arial"/>
        </w:rPr>
        <w:t xml:space="preserve"> </w:t>
      </w:r>
      <w:r w:rsidRPr="00D15F87">
        <w:rPr>
          <w:rFonts w:ascii="Arial" w:hAnsi="Arial" w:cs="Arial"/>
        </w:rPr>
        <w:t>The statutory status of LMCs has been reaffirmed in every major piece of NHS legislation.</w:t>
      </w:r>
    </w:p>
    <w:p w14:paraId="3EF206A4" w14:textId="77777777" w:rsidR="00CE0B09" w:rsidRPr="00D15F87" w:rsidRDefault="00CE0B09" w:rsidP="00D15F87">
      <w:pPr>
        <w:spacing w:after="0"/>
        <w:rPr>
          <w:rFonts w:ascii="Arial" w:hAnsi="Arial" w:cs="Arial"/>
        </w:rPr>
      </w:pPr>
    </w:p>
    <w:p w14:paraId="78939DBC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When the NHS was created in 1946, LMCs were carried forward as the statutory</w:t>
      </w:r>
    </w:p>
    <w:p w14:paraId="52173067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representative bodies for GPs, with the function to represent GPs in dealings with the new</w:t>
      </w:r>
    </w:p>
    <w:p w14:paraId="6DF27A25" w14:textId="13A8E773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NHS executive structures.</w:t>
      </w:r>
      <w:r w:rsidR="00CE0B09">
        <w:rPr>
          <w:rFonts w:ascii="Arial" w:hAnsi="Arial" w:cs="Arial"/>
        </w:rPr>
        <w:t xml:space="preserve"> </w:t>
      </w:r>
      <w:r w:rsidRPr="00D15F87">
        <w:rPr>
          <w:rFonts w:ascii="Arial" w:hAnsi="Arial" w:cs="Arial"/>
        </w:rPr>
        <w:t>The 1977 NHS Act further consolidated the roles of LMCs, and the 2006 NHS Act (Section</w:t>
      </w:r>
      <w:r w:rsidR="00CE0B09">
        <w:rPr>
          <w:rFonts w:ascii="Arial" w:hAnsi="Arial" w:cs="Arial"/>
        </w:rPr>
        <w:t xml:space="preserve"> </w:t>
      </w:r>
      <w:r w:rsidRPr="00D15F87">
        <w:rPr>
          <w:rFonts w:ascii="Arial" w:hAnsi="Arial" w:cs="Arial"/>
        </w:rPr>
        <w:t>97) provided the modern legal framework, recognising Local Medical Committees as the only</w:t>
      </w:r>
      <w:r w:rsidR="00CE0B09">
        <w:rPr>
          <w:rFonts w:ascii="Arial" w:hAnsi="Arial" w:cs="Arial"/>
        </w:rPr>
        <w:t xml:space="preserve"> </w:t>
      </w:r>
      <w:r w:rsidRPr="00D15F87">
        <w:rPr>
          <w:rFonts w:ascii="Arial" w:hAnsi="Arial" w:cs="Arial"/>
        </w:rPr>
        <w:t>statutory representative bodies for GPs, and setting out their functions and funding. The</w:t>
      </w:r>
      <w:r w:rsidR="00CE0B09">
        <w:rPr>
          <w:rFonts w:ascii="Arial" w:hAnsi="Arial" w:cs="Arial"/>
        </w:rPr>
        <w:t xml:space="preserve"> </w:t>
      </w:r>
      <w:r w:rsidRPr="00D15F87">
        <w:rPr>
          <w:rFonts w:ascii="Arial" w:hAnsi="Arial" w:cs="Arial"/>
        </w:rPr>
        <w:t>2022 Health and Care Act amendments shifted the statutory recognition of LMCs from NHS</w:t>
      </w:r>
      <w:r w:rsidR="00CE0B09">
        <w:rPr>
          <w:rFonts w:ascii="Arial" w:hAnsi="Arial" w:cs="Arial"/>
        </w:rPr>
        <w:t xml:space="preserve"> </w:t>
      </w:r>
      <w:r w:rsidRPr="00D15F87">
        <w:rPr>
          <w:rFonts w:ascii="Arial" w:hAnsi="Arial" w:cs="Arial"/>
        </w:rPr>
        <w:t>England’s national board to local Integrated Care Boards.</w:t>
      </w:r>
    </w:p>
    <w:p w14:paraId="6193018B" w14:textId="77777777" w:rsidR="00CE0B09" w:rsidRDefault="00CE0B09" w:rsidP="00D15F87">
      <w:pPr>
        <w:spacing w:after="0"/>
        <w:rPr>
          <w:rFonts w:ascii="Arial" w:hAnsi="Arial" w:cs="Arial"/>
        </w:rPr>
      </w:pPr>
    </w:p>
    <w:p w14:paraId="0A44E24B" w14:textId="51C3DA1A" w:rsidR="00D15F87" w:rsidRPr="00D15F87" w:rsidRDefault="00D15F87" w:rsidP="00D15F87">
      <w:pPr>
        <w:spacing w:after="0"/>
        <w:rPr>
          <w:rFonts w:ascii="Arial" w:hAnsi="Arial" w:cs="Arial"/>
          <w:b/>
          <w:bCs/>
        </w:rPr>
      </w:pPr>
      <w:r w:rsidRPr="00D15F87">
        <w:rPr>
          <w:rFonts w:ascii="Arial" w:hAnsi="Arial" w:cs="Arial"/>
          <w:b/>
          <w:bCs/>
        </w:rPr>
        <w:t>The 2022 Health and Care Act and LMCs</w:t>
      </w:r>
    </w:p>
    <w:p w14:paraId="0FAA0CAC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Prior to 2022, NHS England’s board had the statutory relationship with LMCs. The 2022</w:t>
      </w:r>
    </w:p>
    <w:p w14:paraId="09B4E985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Health and Care Act amendments substituted “the Board” (NHS England) with “an integrated</w:t>
      </w:r>
    </w:p>
    <w:p w14:paraId="7C6F4E48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care board” with the requirement for the statutory relationship to be held locally, at the</w:t>
      </w:r>
    </w:p>
    <w:p w14:paraId="551B1E7C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system level, giving LMCs the statutory right to consultation by ICBs on primary care</w:t>
      </w:r>
    </w:p>
    <w:p w14:paraId="0C6D5E7B" w14:textId="77777777" w:rsid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matters.</w:t>
      </w:r>
    </w:p>
    <w:p w14:paraId="59A1E9FF" w14:textId="77777777" w:rsidR="002910C7" w:rsidRPr="00D15F87" w:rsidRDefault="002910C7" w:rsidP="00D15F87">
      <w:pPr>
        <w:spacing w:after="0"/>
        <w:rPr>
          <w:rFonts w:ascii="Arial" w:hAnsi="Arial" w:cs="Arial"/>
        </w:rPr>
      </w:pPr>
    </w:p>
    <w:p w14:paraId="5ACE4995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The amendments further modernised the terminology, clarifying the scope of representation</w:t>
      </w:r>
    </w:p>
    <w:p w14:paraId="36E9BC1C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of Local Medical Committees to reflect all contract types relating to primary medical services</w:t>
      </w:r>
    </w:p>
    <w:p w14:paraId="3FE255FD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and enabled greater flexibility on geography of representation.</w:t>
      </w:r>
    </w:p>
    <w:p w14:paraId="6909A040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The funding mechanisms of LMCs through the ICB for expenses and support and through</w:t>
      </w:r>
    </w:p>
    <w:p w14:paraId="3155B32F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the levy mechanism of whom the committee is representative remain unchanged.</w:t>
      </w:r>
    </w:p>
    <w:p w14:paraId="5D8F5CDB" w14:textId="77777777" w:rsidR="00D15F87" w:rsidRDefault="00D15F87" w:rsidP="00D15F87">
      <w:pPr>
        <w:spacing w:after="0"/>
        <w:rPr>
          <w:rFonts w:ascii="Arial" w:hAnsi="Arial" w:cs="Arial"/>
          <w:b/>
          <w:bCs/>
        </w:rPr>
      </w:pPr>
    </w:p>
    <w:p w14:paraId="53F9BAEB" w14:textId="77777777" w:rsidR="002910C7" w:rsidRDefault="002910C7" w:rsidP="00D15F87">
      <w:pPr>
        <w:spacing w:after="0"/>
        <w:rPr>
          <w:rFonts w:ascii="Arial" w:hAnsi="Arial" w:cs="Arial"/>
          <w:b/>
          <w:bCs/>
        </w:rPr>
      </w:pPr>
    </w:p>
    <w:p w14:paraId="3375C945" w14:textId="77777777" w:rsidR="002910C7" w:rsidRDefault="002910C7" w:rsidP="00D15F87">
      <w:pPr>
        <w:spacing w:after="0"/>
        <w:rPr>
          <w:rFonts w:ascii="Arial" w:hAnsi="Arial" w:cs="Arial"/>
          <w:b/>
          <w:bCs/>
        </w:rPr>
      </w:pPr>
    </w:p>
    <w:p w14:paraId="36D85FC0" w14:textId="77777777" w:rsidR="002910C7" w:rsidRDefault="002910C7" w:rsidP="00D15F87">
      <w:pPr>
        <w:spacing w:after="0"/>
        <w:rPr>
          <w:rFonts w:ascii="Arial" w:hAnsi="Arial" w:cs="Arial"/>
          <w:b/>
          <w:bCs/>
        </w:rPr>
      </w:pPr>
    </w:p>
    <w:p w14:paraId="51D13B58" w14:textId="77777777" w:rsidR="002910C7" w:rsidRDefault="002910C7" w:rsidP="00D15F87">
      <w:pPr>
        <w:spacing w:after="0"/>
        <w:rPr>
          <w:rFonts w:ascii="Arial" w:hAnsi="Arial" w:cs="Arial"/>
          <w:b/>
          <w:bCs/>
        </w:rPr>
      </w:pPr>
    </w:p>
    <w:p w14:paraId="3FC7D62F" w14:textId="64CB1271" w:rsidR="00D15F87" w:rsidRPr="00D15F87" w:rsidRDefault="00D15F87" w:rsidP="00D15F87">
      <w:pPr>
        <w:spacing w:after="0"/>
        <w:rPr>
          <w:rFonts w:ascii="Arial" w:hAnsi="Arial" w:cs="Arial"/>
          <w:b/>
          <w:bCs/>
        </w:rPr>
      </w:pPr>
      <w:r w:rsidRPr="00D15F87">
        <w:rPr>
          <w:rFonts w:ascii="Arial" w:hAnsi="Arial" w:cs="Arial"/>
          <w:b/>
          <w:bCs/>
        </w:rPr>
        <w:lastRenderedPageBreak/>
        <w:t>LMCs, ICBs and Health and Wellbeing Partnerships</w:t>
      </w:r>
    </w:p>
    <w:p w14:paraId="7070A72E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How the legal responsibilities of LMCs translate into practical realities with ICBs and Health</w:t>
      </w:r>
    </w:p>
    <w:p w14:paraId="2CCA954F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and Wellbeing Partnerships in England</w:t>
      </w:r>
    </w:p>
    <w:p w14:paraId="0B157727" w14:textId="77777777" w:rsidR="002910C7" w:rsidRDefault="002910C7" w:rsidP="00D15F87">
      <w:pPr>
        <w:spacing w:after="0"/>
        <w:rPr>
          <w:rFonts w:ascii="Arial" w:hAnsi="Arial" w:cs="Arial"/>
        </w:rPr>
      </w:pPr>
    </w:p>
    <w:p w14:paraId="72CECC71" w14:textId="62DE7403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The LMC has the statutory right to be consulted on new service specifications affecting</w:t>
      </w:r>
    </w:p>
    <w:p w14:paraId="0285F59A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primary care. The LMC ensures the contract is realistic, funded adequately and protects GP</w:t>
      </w:r>
    </w:p>
    <w:p w14:paraId="682BD3CF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workload. Without LMC involvement, the ICB could be challenged for failing its statutory duty</w:t>
      </w:r>
    </w:p>
    <w:p w14:paraId="74699540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of consultation.</w:t>
      </w:r>
    </w:p>
    <w:p w14:paraId="4F3BED07" w14:textId="77777777" w:rsidR="00AB7DA0" w:rsidRDefault="00AB7DA0" w:rsidP="00D15F87">
      <w:pPr>
        <w:spacing w:after="0"/>
        <w:rPr>
          <w:rFonts w:ascii="Arial" w:hAnsi="Arial" w:cs="Arial"/>
        </w:rPr>
      </w:pPr>
    </w:p>
    <w:p w14:paraId="118F9C0F" w14:textId="2796620A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Whilst Health and Wellbeing Partnerships set up by local authorities and ICBs are not</w:t>
      </w:r>
    </w:p>
    <w:p w14:paraId="4D629CD4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specifically mentioned in the LMC constitution, any primary care related policy they develop</w:t>
      </w:r>
    </w:p>
    <w:p w14:paraId="5B273F64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must still involve LMC input because it affects GPs.</w:t>
      </w:r>
    </w:p>
    <w:p w14:paraId="47467948" w14:textId="77777777" w:rsidR="00AB7DA0" w:rsidRDefault="00AB7DA0" w:rsidP="00D15F87">
      <w:pPr>
        <w:spacing w:after="0"/>
        <w:rPr>
          <w:rFonts w:ascii="Arial" w:hAnsi="Arial" w:cs="Arial"/>
        </w:rPr>
      </w:pPr>
    </w:p>
    <w:p w14:paraId="0BB7B905" w14:textId="490105C0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If a Health and Wellbeing board or partnership is developing a local strategy on prevention of</w:t>
      </w:r>
    </w:p>
    <w:p w14:paraId="2241B88E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a disease area, the LMC provides the GP perspective on workload, patient pathways and</w:t>
      </w:r>
    </w:p>
    <w:p w14:paraId="4E51DADB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community integration. The LMC’s role is to protect GP interests in the design of system</w:t>
      </w:r>
    </w:p>
    <w:p w14:paraId="3545D109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plans.</w:t>
      </w:r>
    </w:p>
    <w:p w14:paraId="323FF959" w14:textId="77777777" w:rsidR="00D15F87" w:rsidRDefault="00D15F87" w:rsidP="00D15F87">
      <w:pPr>
        <w:spacing w:after="0"/>
        <w:rPr>
          <w:rFonts w:ascii="Arial" w:hAnsi="Arial" w:cs="Arial"/>
          <w:b/>
          <w:bCs/>
        </w:rPr>
      </w:pPr>
    </w:p>
    <w:p w14:paraId="52711911" w14:textId="5FEA154C" w:rsidR="00D15F87" w:rsidRPr="00D15F87" w:rsidRDefault="00D15F87" w:rsidP="00D15F87">
      <w:pPr>
        <w:spacing w:after="0"/>
        <w:rPr>
          <w:rFonts w:ascii="Arial" w:hAnsi="Arial" w:cs="Arial"/>
          <w:b/>
          <w:bCs/>
        </w:rPr>
      </w:pPr>
      <w:r w:rsidRPr="00D15F87">
        <w:rPr>
          <w:rFonts w:ascii="Arial" w:hAnsi="Arial" w:cs="Arial"/>
          <w:b/>
          <w:bCs/>
        </w:rPr>
        <w:t>Representation vs delivery bodies</w:t>
      </w:r>
    </w:p>
    <w:p w14:paraId="57DB7000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LMCs (statutory) represent all GPs, defend contractual or professional interests and ensure</w:t>
      </w:r>
    </w:p>
    <w:p w14:paraId="18648D23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proper consultation.</w:t>
      </w:r>
    </w:p>
    <w:p w14:paraId="64874916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GP Federations (non-statutory) act as provider organisations, bidding for or coordinating</w:t>
      </w:r>
    </w:p>
    <w:p w14:paraId="350BB4DF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delivery of services.</w:t>
      </w:r>
    </w:p>
    <w:p w14:paraId="1D26ADB9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Both voices are valid but there may be practical tension - the federation might argue how it</w:t>
      </w:r>
    </w:p>
    <w:p w14:paraId="6FE35C75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will deliver a service and the LMC will argue whether the service is fair, viable and safe for</w:t>
      </w:r>
    </w:p>
    <w:p w14:paraId="005EF4EF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GPs to deliver. Both voices are valid but only the LMC has legal standing as the statutory</w:t>
      </w:r>
    </w:p>
    <w:p w14:paraId="55E73530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representative body.</w:t>
      </w:r>
    </w:p>
    <w:p w14:paraId="21F04D67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Even if a federation is at a table as a provider, the LMC must still be consulted to safeguard</w:t>
      </w:r>
    </w:p>
    <w:p w14:paraId="1AD63DEA" w14:textId="38D369C0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the profession’s interests</w:t>
      </w:r>
      <w:r w:rsidR="00AB7DA0">
        <w:rPr>
          <w:rFonts w:ascii="Arial" w:hAnsi="Arial" w:cs="Arial"/>
        </w:rPr>
        <w:t>.</w:t>
      </w:r>
      <w:r w:rsidRPr="00D15F87">
        <w:rPr>
          <w:rFonts w:ascii="Arial" w:hAnsi="Arial" w:cs="Arial"/>
        </w:rPr>
        <w:t xml:space="preserve"> The statutory responsibility ensures GP’s collective voice is not</w:t>
      </w:r>
    </w:p>
    <w:p w14:paraId="2811F727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bypassed.</w:t>
      </w:r>
    </w:p>
    <w:p w14:paraId="4CC09AEA" w14:textId="77777777" w:rsidR="00D15F87" w:rsidRDefault="00D15F87" w:rsidP="00D15F87">
      <w:pPr>
        <w:spacing w:after="0"/>
        <w:rPr>
          <w:rFonts w:ascii="Arial" w:hAnsi="Arial" w:cs="Arial"/>
          <w:b/>
          <w:bCs/>
        </w:rPr>
      </w:pPr>
    </w:p>
    <w:p w14:paraId="54434F09" w14:textId="5B4DA505" w:rsidR="00D15F87" w:rsidRPr="00D15F87" w:rsidRDefault="00D15F87" w:rsidP="00D15F87">
      <w:pPr>
        <w:spacing w:after="0"/>
        <w:rPr>
          <w:rFonts w:ascii="Arial" w:hAnsi="Arial" w:cs="Arial"/>
          <w:b/>
          <w:bCs/>
        </w:rPr>
      </w:pPr>
      <w:r w:rsidRPr="00D15F87">
        <w:rPr>
          <w:rFonts w:ascii="Arial" w:hAnsi="Arial" w:cs="Arial"/>
          <w:b/>
          <w:bCs/>
        </w:rPr>
        <w:t>Summary following the 2022 Health and Care Act amendments</w:t>
      </w:r>
    </w:p>
    <w:p w14:paraId="353BEB21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1. From national to local accountability - before 2022 NHS England had the statutory</w:t>
      </w:r>
    </w:p>
    <w:p w14:paraId="56B8292E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relationship with LMCs. Now ICBs are the legal point of recognition and consultation.</w:t>
      </w:r>
    </w:p>
    <w:p w14:paraId="72109B88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This strengthens the LMC’s local statutory authority, as engagement must happen</w:t>
      </w:r>
    </w:p>
    <w:p w14:paraId="022B97BD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locally, at the system level.</w:t>
      </w:r>
    </w:p>
    <w:p w14:paraId="5D68CD5A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2. Stronger local voice - LMCs have a clear statutory right to consultation by ICBs and</w:t>
      </w:r>
    </w:p>
    <w:p w14:paraId="189AEF89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 xml:space="preserve">Health and Wellbeing Partnerships on primary care matters. This gives LMCs </w:t>
      </w:r>
      <w:proofErr w:type="gramStart"/>
      <w:r w:rsidRPr="00D15F87">
        <w:rPr>
          <w:rFonts w:ascii="Arial" w:hAnsi="Arial" w:cs="Arial"/>
        </w:rPr>
        <w:t>a legal</w:t>
      </w:r>
      <w:proofErr w:type="gramEnd"/>
    </w:p>
    <w:p w14:paraId="0AE40C3A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position in system governance discussions</w:t>
      </w:r>
    </w:p>
    <w:p w14:paraId="69B5BC0C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3. The amendments clarified representations and geographies for when LMC and ICB</w:t>
      </w:r>
    </w:p>
    <w:p w14:paraId="7BFC144A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 xml:space="preserve">geographies don’t fully align - LMCs can represent part or </w:t>
      </w:r>
      <w:proofErr w:type="gramStart"/>
      <w:r w:rsidRPr="00D15F87">
        <w:rPr>
          <w:rFonts w:ascii="Arial" w:hAnsi="Arial" w:cs="Arial"/>
        </w:rPr>
        <w:t>all of</w:t>
      </w:r>
      <w:proofErr w:type="gramEnd"/>
      <w:r w:rsidRPr="00D15F87">
        <w:rPr>
          <w:rFonts w:ascii="Arial" w:hAnsi="Arial" w:cs="Arial"/>
        </w:rPr>
        <w:t xml:space="preserve"> an ICB area.</w:t>
      </w:r>
    </w:p>
    <w:p w14:paraId="10A3455C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4. LMCs provide statutory representation and protects GP interests. GP federations are</w:t>
      </w:r>
    </w:p>
    <w:p w14:paraId="62A8923E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non-statutory and act as provider organisations. Both may sit at ICB tables, but only</w:t>
      </w:r>
    </w:p>
    <w:p w14:paraId="77FF3AB9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the LMC has statutory consultation rights.</w:t>
      </w:r>
    </w:p>
    <w:p w14:paraId="7467350D" w14:textId="77777777" w:rsidR="00D15F87" w:rsidRDefault="00D15F87" w:rsidP="00D15F87">
      <w:pPr>
        <w:spacing w:after="0"/>
        <w:rPr>
          <w:rFonts w:ascii="Arial" w:hAnsi="Arial" w:cs="Arial"/>
          <w:b/>
          <w:bCs/>
        </w:rPr>
      </w:pPr>
    </w:p>
    <w:p w14:paraId="2F6771A7" w14:textId="77777777" w:rsidR="00AB7DA0" w:rsidRDefault="00AB7DA0" w:rsidP="00D15F87">
      <w:pPr>
        <w:spacing w:after="0"/>
        <w:rPr>
          <w:rFonts w:ascii="Arial" w:hAnsi="Arial" w:cs="Arial"/>
          <w:b/>
          <w:bCs/>
        </w:rPr>
      </w:pPr>
    </w:p>
    <w:p w14:paraId="7855191C" w14:textId="77777777" w:rsidR="00AB7DA0" w:rsidRDefault="00AB7DA0" w:rsidP="00D15F87">
      <w:pPr>
        <w:spacing w:after="0"/>
        <w:rPr>
          <w:rFonts w:ascii="Arial" w:hAnsi="Arial" w:cs="Arial"/>
          <w:b/>
          <w:bCs/>
        </w:rPr>
      </w:pPr>
    </w:p>
    <w:p w14:paraId="70545EEA" w14:textId="77777777" w:rsidR="00AB7DA0" w:rsidRDefault="00AB7DA0" w:rsidP="00D15F87">
      <w:pPr>
        <w:spacing w:after="0"/>
        <w:rPr>
          <w:rFonts w:ascii="Arial" w:hAnsi="Arial" w:cs="Arial"/>
          <w:b/>
          <w:bCs/>
        </w:rPr>
      </w:pPr>
    </w:p>
    <w:p w14:paraId="3CAC193E" w14:textId="77777777" w:rsidR="00AB7DA0" w:rsidRDefault="00AB7DA0" w:rsidP="00D15F87">
      <w:pPr>
        <w:spacing w:after="0"/>
        <w:rPr>
          <w:rFonts w:ascii="Arial" w:hAnsi="Arial" w:cs="Arial"/>
          <w:b/>
          <w:bCs/>
        </w:rPr>
      </w:pPr>
    </w:p>
    <w:p w14:paraId="157CC21F" w14:textId="1403E4A4" w:rsidR="00D15F87" w:rsidRPr="00D15F87" w:rsidRDefault="00D15F87" w:rsidP="00D15F87">
      <w:pPr>
        <w:spacing w:after="0"/>
        <w:rPr>
          <w:rFonts w:ascii="Arial" w:hAnsi="Arial" w:cs="Arial"/>
          <w:b/>
          <w:bCs/>
        </w:rPr>
      </w:pPr>
      <w:r w:rsidRPr="00D15F87">
        <w:rPr>
          <w:rFonts w:ascii="Arial" w:hAnsi="Arial" w:cs="Arial"/>
          <w:b/>
          <w:bCs/>
        </w:rPr>
        <w:lastRenderedPageBreak/>
        <w:t>References</w:t>
      </w:r>
    </w:p>
    <w:p w14:paraId="6E2FDCED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 xml:space="preserve">• Great Britain. (1911) </w:t>
      </w:r>
      <w:r w:rsidRPr="00D15F87">
        <w:rPr>
          <w:rFonts w:ascii="Arial" w:hAnsi="Arial" w:cs="Arial"/>
          <w:i/>
          <w:iCs/>
        </w:rPr>
        <w:t>National Insurance Act 1911</w:t>
      </w:r>
      <w:r w:rsidRPr="00D15F87">
        <w:rPr>
          <w:rFonts w:ascii="Arial" w:hAnsi="Arial" w:cs="Arial"/>
        </w:rPr>
        <w:t>. 1 &amp; 2 Geo.5 c.55. London: HMSO.</w:t>
      </w:r>
    </w:p>
    <w:p w14:paraId="3D3B5CBF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Available at: https://sochealth.co.uk/national-health-service/health-law/nationalinsurance-</w:t>
      </w:r>
    </w:p>
    <w:p w14:paraId="2961CD8D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act-1911/ (Accessed: 23 September 2025).</w:t>
      </w:r>
    </w:p>
    <w:p w14:paraId="28175C9C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 xml:space="preserve">• Great Britain. (1946) </w:t>
      </w:r>
      <w:r w:rsidRPr="00D15F87">
        <w:rPr>
          <w:rFonts w:ascii="Arial" w:hAnsi="Arial" w:cs="Arial"/>
          <w:i/>
          <w:iCs/>
        </w:rPr>
        <w:t>National Health Service Act 1946</w:t>
      </w:r>
      <w:r w:rsidRPr="00D15F87">
        <w:rPr>
          <w:rFonts w:ascii="Arial" w:hAnsi="Arial" w:cs="Arial"/>
        </w:rPr>
        <w:t>. 9 &amp; 10 Geo.6 c.81. London:</w:t>
      </w:r>
    </w:p>
    <w:p w14:paraId="2348A3F7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HMSO.</w:t>
      </w:r>
    </w:p>
    <w:p w14:paraId="34C705A9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 xml:space="preserve">• Great Britain. (1977) </w:t>
      </w:r>
      <w:r w:rsidRPr="00D15F87">
        <w:rPr>
          <w:rFonts w:ascii="Arial" w:hAnsi="Arial" w:cs="Arial"/>
          <w:i/>
          <w:iCs/>
        </w:rPr>
        <w:t>National Health Service Act 1977</w:t>
      </w:r>
      <w:r w:rsidRPr="00D15F87">
        <w:rPr>
          <w:rFonts w:ascii="Arial" w:hAnsi="Arial" w:cs="Arial"/>
        </w:rPr>
        <w:t>. 1977 c.49. London: HMSO.</w:t>
      </w:r>
    </w:p>
    <w:p w14:paraId="5230F072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 xml:space="preserve">• Great Britain. (2006) </w:t>
      </w:r>
      <w:r w:rsidRPr="00D15F87">
        <w:rPr>
          <w:rFonts w:ascii="Arial" w:hAnsi="Arial" w:cs="Arial"/>
          <w:i/>
          <w:iCs/>
        </w:rPr>
        <w:t>National Health Service Act 2006</w:t>
      </w:r>
      <w:r w:rsidRPr="00D15F87">
        <w:rPr>
          <w:rFonts w:ascii="Arial" w:hAnsi="Arial" w:cs="Arial"/>
        </w:rPr>
        <w:t>, Section 97. London: The</w:t>
      </w:r>
    </w:p>
    <w:p w14:paraId="3A852D44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Stationery Office.</w:t>
      </w:r>
    </w:p>
    <w:p w14:paraId="22265A1A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Available at: https://www.legislation.gov.uk/ukpga/2006/41/section/97 (Accessed: 23</w:t>
      </w:r>
    </w:p>
    <w:p w14:paraId="345B6D77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September 2025).</w:t>
      </w:r>
    </w:p>
    <w:p w14:paraId="328335CA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 xml:space="preserve">• Great Britain. (2022) </w:t>
      </w:r>
      <w:r w:rsidRPr="00D15F87">
        <w:rPr>
          <w:rFonts w:ascii="Arial" w:hAnsi="Arial" w:cs="Arial"/>
          <w:i/>
          <w:iCs/>
        </w:rPr>
        <w:t>Health and Care Act 2022</w:t>
      </w:r>
      <w:r w:rsidRPr="00D15F87">
        <w:rPr>
          <w:rFonts w:ascii="Arial" w:hAnsi="Arial" w:cs="Arial"/>
        </w:rPr>
        <w:t>, Schedule 3. London: The Stationery</w:t>
      </w:r>
    </w:p>
    <w:p w14:paraId="6EB34BC4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Office. Available at: https://www.legislation.gov.uk/ukpga/2022/31/schedule/3</w:t>
      </w:r>
    </w:p>
    <w:p w14:paraId="6F6E7FAF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(Accessed: 23 September 2025).</w:t>
      </w:r>
    </w:p>
    <w:p w14:paraId="7D25428C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 xml:space="preserve">• NHS England. (2021) </w:t>
      </w:r>
      <w:r w:rsidRPr="00D15F87">
        <w:rPr>
          <w:rFonts w:ascii="Arial" w:hAnsi="Arial" w:cs="Arial"/>
          <w:i/>
          <w:iCs/>
        </w:rPr>
        <w:t>Provider collaboratives: guidance</w:t>
      </w:r>
      <w:r w:rsidRPr="00D15F87">
        <w:rPr>
          <w:rFonts w:ascii="Arial" w:hAnsi="Arial" w:cs="Arial"/>
        </w:rPr>
        <w:t>. NHS England. Available at:</w:t>
      </w:r>
    </w:p>
    <w:p w14:paraId="1976FD4E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https://www.england.nhs.uk/wp-content/uploads/2021/06/B0754-working-together-atscale-</w:t>
      </w:r>
    </w:p>
    <w:p w14:paraId="04E06A56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guidance-on-provider-collaboratives.pdf (Accessed: 23 September 2025).</w:t>
      </w:r>
    </w:p>
    <w:p w14:paraId="305C2648" w14:textId="77777777" w:rsidR="00D15F87" w:rsidRPr="00D15F87" w:rsidRDefault="00D15F87" w:rsidP="00D15F87">
      <w:pPr>
        <w:spacing w:after="0"/>
        <w:rPr>
          <w:rFonts w:ascii="Arial" w:hAnsi="Arial" w:cs="Arial"/>
          <w:i/>
          <w:iCs/>
        </w:rPr>
      </w:pPr>
      <w:r w:rsidRPr="00D15F87">
        <w:rPr>
          <w:rFonts w:ascii="Arial" w:hAnsi="Arial" w:cs="Arial"/>
        </w:rPr>
        <w:t xml:space="preserve">• British Medical Association. (n.d.) </w:t>
      </w:r>
      <w:r w:rsidRPr="00D15F87">
        <w:rPr>
          <w:rFonts w:ascii="Arial" w:hAnsi="Arial" w:cs="Arial"/>
          <w:i/>
          <w:iCs/>
        </w:rPr>
        <w:t>Local medical committees (LMCs): the statutory</w:t>
      </w:r>
    </w:p>
    <w:p w14:paraId="5A35651B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  <w:i/>
          <w:iCs/>
        </w:rPr>
        <w:t>body for GPs</w:t>
      </w:r>
      <w:r w:rsidRPr="00D15F87">
        <w:rPr>
          <w:rFonts w:ascii="Arial" w:hAnsi="Arial" w:cs="Arial"/>
        </w:rPr>
        <w:t>. BMA. Available at: https://www.bma.org.uk/advice-and-support/gppractices/</w:t>
      </w:r>
    </w:p>
    <w:p w14:paraId="4D74AB8D" w14:textId="77777777" w:rsidR="00D15F87" w:rsidRPr="00D15F87" w:rsidRDefault="00D15F87" w:rsidP="00D15F87">
      <w:pPr>
        <w:spacing w:after="0"/>
        <w:rPr>
          <w:rFonts w:ascii="Arial" w:hAnsi="Arial" w:cs="Arial"/>
        </w:rPr>
      </w:pPr>
      <w:proofErr w:type="spellStart"/>
      <w:r w:rsidRPr="00D15F87">
        <w:rPr>
          <w:rFonts w:ascii="Arial" w:hAnsi="Arial" w:cs="Arial"/>
        </w:rPr>
        <w:t>gp</w:t>
      </w:r>
      <w:proofErr w:type="spellEnd"/>
      <w:r w:rsidRPr="00D15F87">
        <w:rPr>
          <w:rFonts w:ascii="Arial" w:hAnsi="Arial" w:cs="Arial"/>
        </w:rPr>
        <w:t>-practice-support/local-medical-committees-</w:t>
      </w:r>
      <w:proofErr w:type="spellStart"/>
      <w:r w:rsidRPr="00D15F87">
        <w:rPr>
          <w:rFonts w:ascii="Arial" w:hAnsi="Arial" w:cs="Arial"/>
        </w:rPr>
        <w:t>lmcs</w:t>
      </w:r>
      <w:proofErr w:type="spellEnd"/>
      <w:r w:rsidRPr="00D15F87">
        <w:rPr>
          <w:rFonts w:ascii="Arial" w:hAnsi="Arial" w:cs="Arial"/>
        </w:rPr>
        <w:t xml:space="preserve"> (Accessed: 23</w:t>
      </w:r>
    </w:p>
    <w:p w14:paraId="7BA9910B" w14:textId="0FE62BE6" w:rsidR="000D6117" w:rsidRDefault="00D15F87" w:rsidP="00D15F87">
      <w:pPr>
        <w:spacing w:after="0"/>
        <w:rPr>
          <w:rFonts w:ascii="Arial" w:hAnsi="Arial" w:cs="Arial"/>
        </w:rPr>
      </w:pPr>
      <w:r w:rsidRPr="00D15F87">
        <w:rPr>
          <w:rFonts w:ascii="Arial" w:hAnsi="Arial" w:cs="Arial"/>
        </w:rPr>
        <w:t>September 2025).</w:t>
      </w:r>
    </w:p>
    <w:p w14:paraId="332E55E6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13A2189F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4C974ADA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631F64C9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466A59D2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7904AF38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43C2E0B1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2632CF21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0640DCE3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0166B747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5C91C4DB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5F39E9E3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4BCE9716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4F86F6DD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07B96E41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6FC771A7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515FFCCB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6A71CB97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2A9C4383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47D6C265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14EC7350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4E1076A3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68A43C5B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7FAC5389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110D9EDE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529453EF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1F64D4E3" w14:textId="77777777" w:rsidR="000D6117" w:rsidRDefault="000D6117" w:rsidP="00D56261">
      <w:pPr>
        <w:spacing w:after="0"/>
        <w:rPr>
          <w:rFonts w:ascii="Arial" w:hAnsi="Arial" w:cs="Arial"/>
        </w:rPr>
      </w:pPr>
    </w:p>
    <w:p w14:paraId="69430D5A" w14:textId="77777777" w:rsidR="00D56261" w:rsidRPr="000D5CCE" w:rsidRDefault="00D56261" w:rsidP="00D56261">
      <w:pPr>
        <w:spacing w:after="0"/>
        <w:rPr>
          <w:rFonts w:ascii="Arial" w:hAnsi="Arial" w:cs="Arial"/>
        </w:rPr>
      </w:pPr>
    </w:p>
    <w:sectPr w:rsidR="00D56261" w:rsidRPr="000D5CCE" w:rsidSect="00F234D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CCE"/>
    <w:rsid w:val="00021E43"/>
    <w:rsid w:val="000D5CCE"/>
    <w:rsid w:val="000D6117"/>
    <w:rsid w:val="002910C7"/>
    <w:rsid w:val="00303F7D"/>
    <w:rsid w:val="00643C97"/>
    <w:rsid w:val="007054D9"/>
    <w:rsid w:val="00724521"/>
    <w:rsid w:val="008D393E"/>
    <w:rsid w:val="00AB7DA0"/>
    <w:rsid w:val="00C6147C"/>
    <w:rsid w:val="00CE0B09"/>
    <w:rsid w:val="00D15F87"/>
    <w:rsid w:val="00D56261"/>
    <w:rsid w:val="00EA6C6E"/>
    <w:rsid w:val="00F234D5"/>
    <w:rsid w:val="00FB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D50300"/>
  <w15:chartTrackingRefBased/>
  <w15:docId w15:val="{E9691F17-5C16-4B91-9D6A-2482713C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C6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5C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D5C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cp:lastModifiedBy>Greg Pacey</cp:lastModifiedBy>
  <cp:revision>6</cp:revision>
  <cp:lastPrinted>2011-07-20T15:08:00Z</cp:lastPrinted>
  <dcterms:created xsi:type="dcterms:W3CDTF">2025-10-06T13:06:00Z</dcterms:created>
  <dcterms:modified xsi:type="dcterms:W3CDTF">2025-10-06T13:09:00Z</dcterms:modified>
</cp:coreProperties>
</file>